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72"/>
          <w:szCs w:val="72"/>
        </w:rPr>
      </w:pPr>
      <w:r w:rsidDel="00000000" w:rsidR="00000000" w:rsidRPr="00000000">
        <w:rPr>
          <w:rFonts w:ascii="Times New Roman" w:cs="Times New Roman" w:eastAsia="Times New Roman" w:hAnsi="Times New Roman"/>
          <w:b w:val="1"/>
          <w:sz w:val="72"/>
          <w:szCs w:val="72"/>
          <w:rtl w:val="0"/>
        </w:rPr>
        <w:t xml:space="preserve">Visitability Ordinance</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Model Legislation Guide</w:t>
      </w:r>
    </w:p>
    <w:p w:rsidR="00000000" w:rsidDel="00000000" w:rsidP="00000000" w:rsidRDefault="00000000" w:rsidRPr="00000000" w14:paraId="00000006">
      <w:pPr>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sz w:val="40"/>
          <w:szCs w:val="40"/>
          <w:rtl w:val="0"/>
        </w:rPr>
        <w:t xml:space="preserve">For the 2026 Legislative Year</w:t>
      </w:r>
    </w:p>
    <w:p w:rsidR="00000000" w:rsidDel="00000000" w:rsidP="00000000" w:rsidRDefault="00000000" w:rsidRPr="00000000" w14:paraId="00000007">
      <w:pPr>
        <w:rPr>
          <w:rFonts w:ascii="Times New Roman" w:cs="Times New Roman" w:eastAsia="Times New Roman" w:hAnsi="Times New Roman"/>
          <w:i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423900</wp:posOffset>
            </wp:positionH>
            <wp:positionV relativeFrom="paragraph">
              <wp:posOffset>276225</wp:posOffset>
            </wp:positionV>
            <wp:extent cx="4471950" cy="4471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71950" cy="4471950"/>
                    </a:xfrm>
                    <a:prstGeom prst="rect"/>
                    <a:ln/>
                  </pic:spPr>
                </pic:pic>
              </a:graphicData>
            </a:graphic>
          </wp:anchor>
        </w:drawing>
      </w:r>
    </w:p>
    <w:p w:rsidR="00000000" w:rsidDel="00000000" w:rsidP="00000000" w:rsidRDefault="00000000" w:rsidRPr="00000000" w14:paraId="00000008">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1998, Edward Bannister was living in Bolingbrook, Illinois in the southwest Chicago suburbs when a progressive neurological condition began to impede his ability to climb stairs. Ed had been diagnosed with familial spastic paraplegia, an inherited neurological disorder characterized by progressive weakness and stiffness (spasticity) in the lower limbs.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and his wife searched for a house that would suit his mobility needs, but could not find anything that would work. They very much wanted to stay in their town, and after exhausting all other options, they resorted to the lengthy and expensive process of building a custom home that Ed could continue to live in, even as his disease progressed.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long-time resident, Ed was friends with the mayor of Bolingbrook at that time, Roger Claar. Given the ordeal that he and his wife had endured in their effort to stay in town, Ed decided to pitch the mayor on the idea of enacting a “visitability” requirement for all new homes built in the village.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“Visitability” refers to single-family or owner-occupied housing designed and built in such a way that it can be lived in or visited by people who have trouble with steps or who use wheelchairs or walkers.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There are three main requirements:</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least one zero-step entrance</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32-inch interior doors </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one half-bath on the main floor that is wheelchair accessible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such features are included in a home’s original design, the costs are minimal. In fact, the movement originated in Europe, and the United Kingdom enacted such a requirement for all new homes built in the country in 1999.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had gotten the idea for a visitability requirement from Eleanor Smith of Atlanta, Georgia, who started the visitability movement in the United States in the late 1980s. Eleanor had become disabled at the age of three and grew up experiencing the frustrations of inaccessible housing. From not being invited to her friends' birthday parties because she couldn’t get into their homes to having to crawl around houses because the hallways weren’t wide enough for her wheelchair, Eleanor experienced firsthand the difficulties of houses that weren’t made to accommodate mobility impairments.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Eleanor realized that widespread housing change could occur if the focus shifted to the few construction elements that created the biggest barriers. She rallied a local disability group called Concrete Change and began to educate her community on changing the home construction requirements to make each new home visitable by incorporating the three basic features that would address the most common accessibility barriers.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1990s, Concrete Change began to win victories, starting with the first visitability law in Atlanta in 1992. Other cities around the US also implemented laws/ordinances addressing visitability; however, most of the legislation tied new home construction to public assistance from the state.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Bolingbrook, Mayor Claar implemented visitability as a voluntary program from 1999 to 2003. With the voluntary adoption by builders and the popularity of the ordinance locally, the ordinance was officially adopted in 2003, making it a permanent part of the town’s building code, the first of its kind in the country.</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for accessible housing exists now more than ever. Homes built with visitable features not only benefit individuals with mobility disabilities, but also mothers with strollers, movers, and the elderly. Visitable homes have proven to add very limited cost to construction and are often more marketable than homes without these features. The benefits of incorporating visitability far outweigh any potential concerns. When cities implement visitability into the building code, we are helping ensure that individuals, regardless of ability, can continue to live independently in their homes and age in place.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or drafting assistance, please contact us at 847.238.2102 or Info@AccessibilityPolicyInstitute.org.</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tab/>
        <w:tab/>
        <w:tab/>
        <w:tab/>
        <w:tab/>
        <w:tab/>
      </w:r>
      <w:r w:rsidDel="00000000" w:rsidR="00000000" w:rsidRPr="00000000">
        <w:rPr>
          <w:rFonts w:ascii="Times New Roman" w:cs="Times New Roman" w:eastAsia="Times New Roman" w:hAnsi="Times New Roman"/>
          <w:b w:val="1"/>
          <w:color w:val="1c4587"/>
          <w:sz w:val="24"/>
          <w:szCs w:val="24"/>
          <w:rtl w:val="0"/>
        </w:rPr>
        <w:t xml:space="preserve">Dan McConchie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ab/>
      </w:r>
      <w:r w:rsidDel="00000000" w:rsidR="00000000" w:rsidRPr="00000000">
        <w:rPr>
          <w:sz w:val="20"/>
          <w:szCs w:val="20"/>
          <w:rtl w:val="0"/>
        </w:rPr>
        <w:tab/>
        <w:tab/>
        <w:tab/>
        <w:tab/>
        <w:tab/>
      </w:r>
      <w:r w:rsidDel="00000000" w:rsidR="00000000" w:rsidRPr="00000000">
        <w:rPr>
          <w:rFonts w:ascii="Times New Roman" w:cs="Times New Roman" w:eastAsia="Times New Roman" w:hAnsi="Times New Roman"/>
          <w:rtl w:val="0"/>
        </w:rPr>
        <w:t xml:space="preserve">Chief Executive Officer</w:t>
        <w:br w:type="textWrapping"/>
        <w:tab/>
        <w:tab/>
        <w:tab/>
        <w:tab/>
        <w:tab/>
        <w:tab/>
        <w:t xml:space="preserve">Accessibility Policy Institute</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ORDINANCE NO. </w:t>
      </w:r>
      <w:r w:rsidDel="00000000" w:rsidR="00000000" w:rsidRPr="00000000">
        <w:rPr>
          <w:rFonts w:ascii="Times New Roman" w:cs="Times New Roman" w:eastAsia="Times New Roman" w:hAnsi="Times New Roman"/>
          <w:b w:val="1"/>
          <w:sz w:val="18"/>
          <w:szCs w:val="18"/>
          <w:rtl w:val="0"/>
        </w:rPr>
        <w:t xml:space="preserve">_______________</w:t>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ORDINANCE INCORPORATING VISITABILITY INTO THE CONSTRUCTION OF ALL NEW HOMES</w:t>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24"/>
          <w:szCs w:val="24"/>
          <w:rtl w:val="0"/>
        </w:rPr>
        <w:t xml:space="preserve">FOR THE CITY/VILLAGE/TOWN OF </w:t>
        <w:tab/>
      </w:r>
      <w:r w:rsidDel="00000000" w:rsidR="00000000" w:rsidRPr="00000000">
        <w:rPr>
          <w:rFonts w:ascii="Times New Roman" w:cs="Times New Roman" w:eastAsia="Times New Roman" w:hAnsi="Times New Roman"/>
          <w:b w:val="1"/>
          <w:sz w:val="18"/>
          <w:szCs w:val="18"/>
          <w:rtl w:val="0"/>
        </w:rPr>
        <w:t xml:space="preserve">_______________</w:t>
      </w:r>
    </w:p>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estimates by the CDC provide that 12.2% of Americans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or approximately 41.5 million people, have a mobility disability with serious difficulty walking or climbing stairs.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one of the most common environmental barriers that mobility-impaired individuals face is attempting to access a residential home.</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Americans with Disabilities Act (ADA) requires public spaces to be accessible for these disabled individuals, yet the vast majority of the 1.4 million new homes built in the United States every year are built with features that limit a disabled person’s ability to enter a home.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individuals with mobility impairments are forced to leave their homes and may end up in institutionalized care because their homes are not accessible to them.</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less than 5% of the national housing supply is accessible and less than 1% is accessible to wheelchair users.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 THEREFORE,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 it ordained, by the </w:t>
      </w:r>
      <w:r w:rsidDel="00000000" w:rsidR="00000000" w:rsidRPr="00000000">
        <w:rPr>
          <w:rFonts w:ascii="Times New Roman" w:cs="Times New Roman" w:eastAsia="Times New Roman" w:hAnsi="Times New Roman"/>
          <w:b w:val="1"/>
          <w:sz w:val="24"/>
          <w:szCs w:val="24"/>
          <w:rtl w:val="0"/>
        </w:rPr>
        <w:t xml:space="preserve">City Council/President, and Board of Trustees of</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Village/President and Board of Trustees of the Town</w:t>
      </w:r>
      <w:r w:rsidDel="00000000" w:rsidR="00000000" w:rsidRPr="00000000">
        <w:rPr>
          <w:rFonts w:ascii="Times New Roman" w:cs="Times New Roman" w:eastAsia="Times New Roman" w:hAnsi="Times New Roman"/>
          <w:sz w:val="24"/>
          <w:szCs w:val="24"/>
          <w:rtl w:val="0"/>
        </w:rPr>
        <w:t xml:space="preserve"> of ________________________ as</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Title. This Ordinance shall be known as the </w:t>
      </w:r>
      <w:r w:rsidDel="00000000" w:rsidR="00000000" w:rsidRPr="00000000">
        <w:rPr>
          <w:rFonts w:ascii="Times New Roman" w:cs="Times New Roman" w:eastAsia="Times New Roman" w:hAnsi="Times New Roman"/>
          <w:b w:val="1"/>
          <w:sz w:val="24"/>
          <w:szCs w:val="24"/>
          <w:rtl w:val="0"/>
        </w:rPr>
        <w:t xml:space="preserve">City/Village/Town </w:t>
      </w:r>
      <w:r w:rsidDel="00000000" w:rsidR="00000000" w:rsidRPr="00000000">
        <w:rPr>
          <w:rFonts w:ascii="Times New Roman" w:cs="Times New Roman" w:eastAsia="Times New Roman" w:hAnsi="Times New Roman"/>
          <w:sz w:val="24"/>
          <w:szCs w:val="24"/>
          <w:rtl w:val="0"/>
        </w:rPr>
        <w:t xml:space="preserve">Visitability Ordinance.</w:t>
      </w:r>
    </w:p>
    <w:p w:rsidR="00000000" w:rsidDel="00000000" w:rsidP="00000000" w:rsidRDefault="00000000" w:rsidRPr="00000000" w14:paraId="0000005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Incorporation of Recitals. The foregoing recitals shall be and are hereby incorporated as findings of fact as if said recitals were fully set forth herein.</w:t>
      </w:r>
    </w:p>
    <w:p w:rsidR="00000000" w:rsidDel="00000000" w:rsidP="00000000" w:rsidRDefault="00000000" w:rsidRPr="00000000" w14:paraId="0000005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Purpose. The purpose of this Ordinance is to establish minimum regulations for the design and construction of all new single-family homes to increase the amount of accessible housing within the </w:t>
      </w:r>
      <w:r w:rsidDel="00000000" w:rsidR="00000000" w:rsidRPr="00000000">
        <w:rPr>
          <w:rFonts w:ascii="Times New Roman" w:cs="Times New Roman" w:eastAsia="Times New Roman" w:hAnsi="Times New Roman"/>
          <w:b w:val="1"/>
          <w:sz w:val="24"/>
          <w:szCs w:val="24"/>
          <w:rtl w:val="0"/>
        </w:rPr>
        <w:t xml:space="preserve">City/Village/Town,</w:t>
      </w:r>
      <w:r w:rsidDel="00000000" w:rsidR="00000000" w:rsidRPr="00000000">
        <w:rPr>
          <w:rFonts w:ascii="Times New Roman" w:cs="Times New Roman" w:eastAsia="Times New Roman" w:hAnsi="Times New Roman"/>
          <w:sz w:val="24"/>
          <w:szCs w:val="24"/>
          <w:rtl w:val="0"/>
        </w:rPr>
        <w:t xml:space="preserve"> and to allow mobility-impaired individuals to live in accessible homes and/or to visit the homes of relatives, friends, colleagues, etc.</w:t>
      </w:r>
    </w:p>
    <w:p w:rsidR="00000000" w:rsidDel="00000000" w:rsidP="00000000" w:rsidRDefault="00000000" w:rsidRPr="00000000" w14:paraId="0000005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Definition. </w:t>
      </w:r>
    </w:p>
    <w:p w:rsidR="00000000" w:rsidDel="00000000" w:rsidP="00000000" w:rsidRDefault="00000000" w:rsidRPr="00000000" w14:paraId="00000055">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Visitability</w:t>
      </w:r>
      <w:r w:rsidDel="00000000" w:rsidR="00000000" w:rsidRPr="00000000">
        <w:rPr>
          <w:rFonts w:ascii="Times New Roman" w:cs="Times New Roman" w:eastAsia="Times New Roman" w:hAnsi="Times New Roman"/>
          <w:sz w:val="24"/>
          <w:szCs w:val="24"/>
          <w:rtl w:val="0"/>
        </w:rPr>
        <w:t xml:space="preserve">” shall mean modifying home construction so that all new single-family homes are built with specific accessibility features, making it easier for mobility-impaired individuals to live in and visit such homes.</w:t>
      </w:r>
    </w:p>
    <w:p w:rsidR="00000000" w:rsidDel="00000000" w:rsidP="00000000" w:rsidRDefault="00000000" w:rsidRPr="00000000" w14:paraId="00000057">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means an individual</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9">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physical or mental impairment that </w:t>
      </w:r>
      <w:hyperlink r:id="rId8">
        <w:r w:rsidDel="00000000" w:rsidR="00000000" w:rsidRPr="00000000">
          <w:rPr>
            <w:rFonts w:ascii="Times New Roman" w:cs="Times New Roman" w:eastAsia="Times New Roman" w:hAnsi="Times New Roman"/>
            <w:sz w:val="24"/>
            <w:szCs w:val="24"/>
            <w:rtl w:val="0"/>
          </w:rPr>
          <w:t xml:space="preserve">substantially limits</w:t>
        </w:r>
      </w:hyperlink>
      <w:r w:rsidDel="00000000" w:rsidR="00000000" w:rsidRPr="00000000">
        <w:rPr>
          <w:rFonts w:ascii="Times New Roman" w:cs="Times New Roman" w:eastAsia="Times New Roman" w:hAnsi="Times New Roman"/>
          <w:sz w:val="24"/>
          <w:szCs w:val="24"/>
          <w:rtl w:val="0"/>
        </w:rPr>
        <w:t xml:space="preserve"> one or more major life activities of such individual; </w:t>
      </w:r>
    </w:p>
    <w:p w:rsidR="00000000" w:rsidDel="00000000" w:rsidP="00000000" w:rsidRDefault="00000000" w:rsidRPr="00000000" w14:paraId="0000005B">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record of such an impairment; or</w:t>
      </w:r>
    </w:p>
    <w:p w:rsidR="00000000" w:rsidDel="00000000" w:rsidP="00000000" w:rsidRDefault="00000000" w:rsidRPr="00000000" w14:paraId="0000005D">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being regarded as having such an impairment </w:t>
      </w:r>
      <w:r w:rsidDel="00000000" w:rsidR="00000000" w:rsidRPr="00000000">
        <w:rPr>
          <w:rtl w:val="0"/>
        </w:rPr>
      </w:r>
    </w:p>
    <w:p w:rsidR="00000000" w:rsidDel="00000000" w:rsidP="00000000" w:rsidRDefault="00000000" w:rsidRPr="00000000" w14:paraId="0000005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5. Builder Requirements. Home builders must build all new attached and detached single-family dwellings with the following features:</w:t>
      </w:r>
    </w:p>
    <w:p w:rsidR="00000000" w:rsidDel="00000000" w:rsidP="00000000" w:rsidRDefault="00000000" w:rsidRPr="00000000" w14:paraId="0000006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be at least one no-step entrance accessible from an accessible route from a public parking area or public way, including from a sidewalk, driveway, or garage floor. This step-free entrance shall be approached by a slope no greater than 1 in 12. The step-free entrance may be located at any entrance to the home.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63">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wall switches controlling light fixtures and fans shall be placed at a height not to exceed 48 inches above finished flooring, when measuring to the center of the switch.</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65">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electrical wall receptacles shall be placed at a height not less than 15 inches above finished flooring, when measuring to the center of the </w:t>
      </w:r>
      <w:r w:rsidDel="00000000" w:rsidR="00000000" w:rsidRPr="00000000">
        <w:rPr>
          <w:rFonts w:ascii="Times New Roman" w:cs="Times New Roman" w:eastAsia="Times New Roman" w:hAnsi="Times New Roman"/>
          <w:sz w:val="24"/>
          <w:szCs w:val="24"/>
          <w:rtl w:val="0"/>
        </w:rPr>
        <w:t xml:space="preserve">receptacle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67">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bathrooms shall have reinforced walls to support grab bars as needed, with wood blocking located 33 to 36 inches above finished flooring on all walls adjacent to a toilet, shower, or bathtub.</w:t>
      </w:r>
    </w:p>
    <w:p w:rsidR="00000000" w:rsidDel="00000000" w:rsidP="00000000" w:rsidRDefault="00000000" w:rsidRPr="00000000" w14:paraId="00000069">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be at least one accessible bathroom containing at least a toilet and a sink located on the same floor as the no-step entrance. This bathroom shall be designed to provide wheelchair access to the toilet and sink, and for a wheelchair user to close the door when inside the room.</w:t>
      </w:r>
    </w:p>
    <w:p w:rsidR="00000000" w:rsidDel="00000000" w:rsidP="00000000" w:rsidRDefault="00000000" w:rsidRPr="00000000" w14:paraId="0000006B">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interior and exterior doors shall have a 32-inch clear opening. </w:t>
      </w:r>
    </w:p>
    <w:p w:rsidR="00000000" w:rsidDel="00000000" w:rsidP="00000000" w:rsidRDefault="00000000" w:rsidRPr="00000000" w14:paraId="0000006D">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be an accessible route through the hallways and passageways of the floor of the dwelling served by the no-step entrance, with all hallways being 42 inches wide and all other passageways being 36 inches wide.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Section 6. </w:t>
      </w:r>
      <w:r w:rsidDel="00000000" w:rsidR="00000000" w:rsidRPr="00000000">
        <w:rPr>
          <w:rFonts w:ascii="Times New Roman" w:cs="Times New Roman" w:eastAsia="Times New Roman" w:hAnsi="Times New Roman"/>
          <w:sz w:val="24"/>
          <w:szCs w:val="24"/>
          <w:rtl w:val="0"/>
        </w:rPr>
        <w:t xml:space="preserve">Penalty</w:t>
      </w:r>
      <w:r w:rsidDel="00000000" w:rsidR="00000000" w:rsidRPr="00000000">
        <w:rPr>
          <w:rFonts w:ascii="Times New Roman" w:cs="Times New Roman" w:eastAsia="Times New Roman" w:hAnsi="Times New Roman"/>
          <w:sz w:val="24"/>
          <w:szCs w:val="24"/>
          <w:rtl w:val="0"/>
        </w:rPr>
        <w:t xml:space="preserve">. Any person, firm, or corporation that violates any provision of this article shall be subject to a fine of not less than $</w:t>
      </w:r>
      <w:r w:rsidDel="00000000" w:rsidR="00000000" w:rsidRPr="00000000">
        <w:rPr>
          <w:rFonts w:ascii="Times New Roman" w:cs="Times New Roman" w:eastAsia="Times New Roman" w:hAnsi="Times New Roman"/>
          <w:i w:val="1"/>
          <w:sz w:val="24"/>
          <w:szCs w:val="24"/>
          <w:rtl w:val="0"/>
        </w:rPr>
        <w:t xml:space="preserve">[Insert dollar amount]</w:t>
      </w:r>
      <w:r w:rsidDel="00000000" w:rsidR="00000000" w:rsidRPr="00000000">
        <w:rPr>
          <w:rFonts w:ascii="Times New Roman" w:cs="Times New Roman" w:eastAsia="Times New Roman" w:hAnsi="Times New Roman"/>
          <w:sz w:val="24"/>
          <w:szCs w:val="24"/>
          <w:rtl w:val="0"/>
        </w:rPr>
        <w:t xml:space="preserve"> nor more than $</w:t>
      </w:r>
      <w:r w:rsidDel="00000000" w:rsidR="00000000" w:rsidRPr="00000000">
        <w:rPr>
          <w:rFonts w:ascii="Times New Roman" w:cs="Times New Roman" w:eastAsia="Times New Roman" w:hAnsi="Times New Roman"/>
          <w:i w:val="1"/>
          <w:sz w:val="24"/>
          <w:szCs w:val="24"/>
          <w:rtl w:val="0"/>
        </w:rPr>
        <w:t xml:space="preserve">[Insert dollar amount]</w:t>
      </w:r>
      <w:r w:rsidDel="00000000" w:rsidR="00000000" w:rsidRPr="00000000">
        <w:rPr>
          <w:rFonts w:ascii="Times New Roman" w:cs="Times New Roman" w:eastAsia="Times New Roman" w:hAnsi="Times New Roman"/>
          <w:sz w:val="24"/>
          <w:szCs w:val="24"/>
          <w:rtl w:val="0"/>
        </w:rPr>
        <w:t xml:space="preserve"> as determined by the </w:t>
      </w:r>
      <w:r w:rsidDel="00000000" w:rsidR="00000000" w:rsidRPr="00000000">
        <w:rPr>
          <w:rFonts w:ascii="Times New Roman" w:cs="Times New Roman" w:eastAsia="Times New Roman" w:hAnsi="Times New Roman"/>
          <w:b w:val="1"/>
          <w:sz w:val="24"/>
          <w:szCs w:val="24"/>
          <w:rtl w:val="0"/>
        </w:rPr>
        <w:t xml:space="preserve">City/Village/Town </w:t>
      </w:r>
      <w:r w:rsidDel="00000000" w:rsidR="00000000" w:rsidRPr="00000000">
        <w:rPr>
          <w:rFonts w:ascii="Times New Roman" w:cs="Times New Roman" w:eastAsia="Times New Roman" w:hAnsi="Times New Roman"/>
          <w:sz w:val="24"/>
          <w:szCs w:val="24"/>
          <w:rtl w:val="0"/>
        </w:rPr>
        <w:t xml:space="preserve">for each such offense.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Section 7. Repeal of Conflicting Provisions. All ordinances, resolutions, and policies or</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parts thereof, in conflict with the provisions of this Ordinance are, to the extent of the conflict,</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expressly repealed on the effective date of this Ordinance.</w:t>
      </w:r>
    </w:p>
    <w:p w:rsidR="00000000" w:rsidDel="00000000" w:rsidP="00000000" w:rsidRDefault="00000000" w:rsidRPr="00000000" w14:paraId="0000007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8. Publication; Effective Date. The clerk is directed by the corporate authorities</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publish this Ordinance in pamphlet form. This Ordinance shall be in full force and effect after</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passage and publication in accordance with </w:t>
      </w:r>
      <w:r w:rsidDel="00000000" w:rsidR="00000000" w:rsidRPr="00000000">
        <w:rPr>
          <w:rFonts w:ascii="Times New Roman" w:cs="Times New Roman" w:eastAsia="Times New Roman" w:hAnsi="Times New Roman"/>
          <w:b w:val="1"/>
          <w:sz w:val="24"/>
          <w:szCs w:val="24"/>
          <w:rtl w:val="0"/>
        </w:rPr>
        <w:t xml:space="preserve">City/Village/Town </w:t>
      </w:r>
      <w:r w:rsidDel="00000000" w:rsidR="00000000" w:rsidRPr="00000000">
        <w:rPr>
          <w:rFonts w:ascii="Times New Roman" w:cs="Times New Roman" w:eastAsia="Times New Roman" w:hAnsi="Times New Roman"/>
          <w:sz w:val="24"/>
          <w:szCs w:val="24"/>
          <w:rtl w:val="0"/>
        </w:rPr>
        <w:t xml:space="preserve">Municipal Code.</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PASSED THIS _____ day of ____________________, 20_________.</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AYES: ________</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NAYS: ________</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________</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  ________</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THIS _____ day of _________________, 20_________.</w:t>
      </w:r>
    </w:p>
    <w:p w:rsidR="00000000" w:rsidDel="00000000" w:rsidP="00000000" w:rsidRDefault="00000000" w:rsidRPr="00000000" w14:paraId="0000008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85">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Mayor/Village President/Town President</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ATTEST:</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Clerk</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ADOPTING ANY ORDINANCE, MUNICIPAL OFFICIALS SHOULD CONSULT</w:t>
      </w:r>
    </w:p>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THEIR RETAINED LEGAL COUNSEL OR OTHER QUALIFIED ATTORNEY.</w:t>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regarding this or other Accessibility Policy Institute guides, please contact:</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Accessibility Policy Institute</w:t>
      </w:r>
    </w:p>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 Ela Road, Suite 210</w:t>
      </w:r>
    </w:p>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Zurich, Illinois 60047</w:t>
      </w:r>
    </w:p>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847.238.2102 | Info@AccessibilityPolicyInstitute.org</w:t>
        <w:br w:type="textWrapping"/>
        <w:t xml:space="preserve">AccessibilityPolicyInstitute.org</w:t>
      </w:r>
    </w:p>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4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guide may be copied and distributed freely as long as the content remains unchanged and Accessibility Policy Institute is referenced as the creator and owner of this content.</w:t>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72"/>
          <w:szCs w:val="72"/>
        </w:rPr>
      </w:pPr>
      <w:r w:rsidDel="00000000" w:rsidR="00000000" w:rsidRPr="00000000">
        <w:rPr>
          <w:rtl w:val="0"/>
        </w:rPr>
      </w:r>
    </w:p>
    <w:p w:rsidR="00000000" w:rsidDel="00000000" w:rsidP="00000000" w:rsidRDefault="00000000" w:rsidRPr="00000000" w14:paraId="000000B6">
      <w:pPr>
        <w:spacing w:after="240" w:line="288" w:lineRule="auto"/>
        <w:jc w:val="center"/>
        <w:rPr>
          <w:rFonts w:ascii="Times New Roman" w:cs="Times New Roman" w:eastAsia="Times New Roman" w:hAnsi="Times New Roman"/>
          <w:b w:val="1"/>
          <w:sz w:val="72"/>
          <w:szCs w:val="72"/>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Visitability Ordinance</w:t>
      <w:tab/>
      <w:tab/>
      <w:t xml:space="preserve">                    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ab/>
      <w:tab/>
      <w:tab/>
      <w:t xml:space="preserve">Accessibility Policy Institute </w:t>
    </w:r>
  </w:p>
  <w:p w:rsidR="00000000" w:rsidDel="00000000" w:rsidP="00000000" w:rsidRDefault="00000000" w:rsidRPr="00000000" w14:paraId="000000BA">
    <w:pPr>
      <w:jc w:val="center"/>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“Increasing Home Access: Designing for Visitability,” AARP Public Policy Institute Research Report, p. 72-74, available at: https://ncil.org/wp-content/uploads/2016/10/AARP-Increasing-Home-Access.pdf</w:t>
      </w:r>
      <w:r w:rsidDel="00000000" w:rsidR="00000000" w:rsidRPr="00000000">
        <w:rPr>
          <w:rtl w:val="0"/>
        </w:rPr>
      </w:r>
    </w:p>
  </w:footnote>
  <w:footnote w:id="1">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Visitability</w:t>
      </w:r>
      <w:r w:rsidDel="00000000" w:rsidR="00000000" w:rsidRPr="00000000">
        <w:rPr>
          <w:rFonts w:ascii="Times New Roman" w:cs="Times New Roman" w:eastAsia="Times New Roman" w:hAnsi="Times New Roman"/>
          <w:sz w:val="20"/>
          <w:szCs w:val="20"/>
          <w:rtl w:val="0"/>
        </w:rPr>
        <w:t xml:space="preserve">. National Council on Independent Living. (n.d.-c). https://ncil.org/visitability/ </w:t>
      </w:r>
    </w:p>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CDC. (2024, July 15). Disability Impacts All of Us. </w:t>
      </w:r>
    </w:p>
  </w:footnote>
  <w:footnote w:id="3">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Laying the Foundation: Housing Accessibility and Affordability for Older Adults and People with Disabilities. (2023). </w:t>
      </w:r>
    </w:p>
  </w:footnote>
  <w:footnote w:id="4">
    <w:p w:rsidR="00000000" w:rsidDel="00000000" w:rsidP="00000000" w:rsidRDefault="00000000" w:rsidRPr="00000000" w14:paraId="000000C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w:t>
      </w:r>
      <w:r w:rsidDel="00000000" w:rsidR="00000000" w:rsidRPr="00000000">
        <w:rPr>
          <w:rFonts w:ascii="Times New Roman" w:cs="Times New Roman" w:eastAsia="Times New Roman" w:hAnsi="Times New Roman"/>
          <w:i w:val="1"/>
          <w:sz w:val="20"/>
          <w:szCs w:val="20"/>
          <w:rtl w:val="0"/>
        </w:rPr>
        <w:t xml:space="preserve">Legislature]</w:t>
      </w:r>
      <w:r w:rsidDel="00000000" w:rsidR="00000000" w:rsidRPr="00000000">
        <w:rPr>
          <w:rFonts w:ascii="Times New Roman" w:cs="Times New Roman" w:eastAsia="Times New Roman" w:hAnsi="Times New Roman"/>
          <w:sz w:val="20"/>
          <w:szCs w:val="20"/>
          <w:rtl w:val="0"/>
        </w:rPr>
        <w:t xml:space="preserve"> of the State of [</w:t>
      </w:r>
      <w:r w:rsidDel="00000000" w:rsidR="00000000" w:rsidRPr="00000000">
        <w:rPr>
          <w:rFonts w:ascii="Times New Roman" w:cs="Times New Roman" w:eastAsia="Times New Roman" w:hAnsi="Times New Roman"/>
          <w:i w:val="1"/>
          <w:sz w:val="20"/>
          <w:szCs w:val="20"/>
          <w:rtl w:val="0"/>
        </w:rPr>
        <w:t xml:space="preserve">Insert name of State</w:t>
      </w:r>
      <w:r w:rsidDel="00000000" w:rsidR="00000000" w:rsidRPr="00000000">
        <w:rPr>
          <w:rFonts w:ascii="Times New Roman" w:cs="Times New Roman" w:eastAsia="Times New Roman" w:hAnsi="Times New Roman"/>
          <w:sz w:val="20"/>
          <w:szCs w:val="20"/>
          <w:rtl w:val="0"/>
        </w:rPr>
        <w:t xml:space="preserve">] may have a well established definition of disability. The State may reference its own definition. If the State does not have a definition of disability, the ADA definition is suitable. </w:t>
      </w:r>
      <w:r w:rsidDel="00000000" w:rsidR="00000000" w:rsidRPr="00000000">
        <w:rPr>
          <w:rtl w:val="0"/>
        </w:rPr>
      </w:r>
    </w:p>
  </w:footnote>
  <w:footnote w:id="5">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areas with extreme elevation exceeding a slope greater than 1 in 12, the no-step entrance may be located in the garage, or at the side and back door entrances of the home. If the no-step entrance is located in the garage, a door bell button shall be located outside the garage door.</w:t>
      </w:r>
    </w:p>
  </w:footnote>
  <w:footnote w:id="7">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Exception: This requirement does not apply where the use of special equipment dictates otherwise as required by the manufacturer.</w:t>
      </w:r>
    </w:p>
    <w:p w:rsidR="00000000" w:rsidDel="00000000" w:rsidP="00000000" w:rsidRDefault="00000000" w:rsidRPr="00000000" w14:paraId="000000C8">
      <w:pPr>
        <w:spacing w:line="240" w:lineRule="auto"/>
        <w:rPr>
          <w:sz w:val="20"/>
          <w:szCs w:val="20"/>
        </w:rPr>
      </w:pPr>
      <w:r w:rsidDel="00000000" w:rsidR="00000000" w:rsidRPr="00000000">
        <w:rPr>
          <w:rtl w:val="0"/>
        </w:rPr>
      </w:r>
    </w:p>
  </w:footnote>
  <w:footnote w:id="6">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Exceptions: This requirement does not apply where the use of special equipment dictates otherwise as required by the manufacturer. This requirement does not apply to thermostats or breaker panels.</w:t>
      </w:r>
    </w:p>
    <w:p w:rsidR="00000000" w:rsidDel="00000000" w:rsidP="00000000" w:rsidRDefault="00000000" w:rsidRPr="00000000" w14:paraId="000000CA">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law.cornell.edu/definitions/uscode.php?width=840&amp;height=800&amp;iframe=true&amp;def_id=42-USC-1904506147-717106290&amp;term_occur=999&amp;term_src=title:42:chapter:126:section:1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